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83CE3" w14:textId="2CB9D435" w:rsidR="00E9649A" w:rsidRDefault="00A90D5F" w:rsidP="007A68D2">
      <w:pPr>
        <w:jc w:val="right"/>
      </w:pPr>
      <w:r>
        <w:rPr>
          <w:noProof/>
        </w:rPr>
        <mc:AlternateContent>
          <mc:Choice Requires="wps">
            <w:drawing>
              <wp:anchor distT="0" distB="0" distL="114300" distR="114300" simplePos="0" relativeHeight="251659264" behindDoc="0" locked="0" layoutInCell="1" allowOverlap="1" wp14:anchorId="03E892ED" wp14:editId="2785779F">
                <wp:simplePos x="0" y="0"/>
                <wp:positionH relativeFrom="margin">
                  <wp:posOffset>535305</wp:posOffset>
                </wp:positionH>
                <wp:positionV relativeFrom="paragraph">
                  <wp:posOffset>47625</wp:posOffset>
                </wp:positionV>
                <wp:extent cx="12144375" cy="323850"/>
                <wp:effectExtent l="38100" t="38100" r="104775" b="95250"/>
                <wp:wrapNone/>
                <wp:docPr id="7" name="TextBox 6">
                  <a:extLst xmlns:a="http://schemas.openxmlformats.org/drawingml/2006/main">
                    <a:ext uri="{FF2B5EF4-FFF2-40B4-BE49-F238E27FC236}">
                      <a16:creationId xmlns:a16="http://schemas.microsoft.com/office/drawing/2014/main" id="{E3086CBC-70D0-435A-AB47-74BCA6ED91DD}"/>
                    </a:ext>
                  </a:extLst>
                </wp:docPr>
                <wp:cNvGraphicFramePr/>
                <a:graphic xmlns:a="http://schemas.openxmlformats.org/drawingml/2006/main">
                  <a:graphicData uri="http://schemas.microsoft.com/office/word/2010/wordprocessingShape">
                    <wps:wsp>
                      <wps:cNvSpPr txBox="1"/>
                      <wps:spPr>
                        <a:xfrm>
                          <a:off x="0" y="0"/>
                          <a:ext cx="12144375" cy="323850"/>
                        </a:xfrm>
                        <a:prstGeom prst="rect">
                          <a:avLst/>
                        </a:prstGeom>
                        <a:solidFill>
                          <a:srgbClr val="0070C0"/>
                        </a:solidFill>
                        <a:effectLst>
                          <a:outerShdw blurRad="50800" dist="38100" dir="2700000" algn="tl" rotWithShape="0">
                            <a:prstClr val="black">
                              <a:alpha val="40000"/>
                            </a:prstClr>
                          </a:outerShdw>
                        </a:effectLst>
                      </wps:spPr>
                      <wps:txbx>
                        <w:txbxContent>
                          <w:p w14:paraId="55D6C5DA" w14:textId="62B8958F" w:rsidR="00C803DA" w:rsidRPr="009B431E" w:rsidRDefault="00570645" w:rsidP="0049715A">
                            <w:pPr>
                              <w:pStyle w:val="NormalWeb"/>
                              <w:spacing w:before="0" w:beforeAutospacing="0" w:after="0" w:afterAutospacing="0"/>
                              <w:jc w:val="center"/>
                              <w:rPr>
                                <w:sz w:val="28"/>
                              </w:rPr>
                            </w:pPr>
                            <w:r>
                              <w:rPr>
                                <w:rFonts w:asciiTheme="minorHAnsi" w:hAnsi="Calibri" w:cstheme="minorBidi"/>
                                <w:b/>
                                <w:bCs/>
                                <w:color w:val="FFFFFF" w:themeColor="background1"/>
                                <w:kern w:val="24"/>
                                <w:sz w:val="32"/>
                                <w:szCs w:val="36"/>
                              </w:rPr>
                              <w:t xml:space="preserve">XXXX </w:t>
                            </w:r>
                            <w:r w:rsidR="00A90D5F">
                              <w:rPr>
                                <w:rFonts w:asciiTheme="minorHAnsi" w:hAnsi="Calibri" w:cstheme="minorBidi"/>
                                <w:b/>
                                <w:bCs/>
                                <w:color w:val="FFFFFF" w:themeColor="background1"/>
                                <w:kern w:val="24"/>
                                <w:sz w:val="32"/>
                                <w:szCs w:val="36"/>
                              </w:rPr>
                              <w:t>Learn Local Marketing</w:t>
                            </w:r>
                            <w:r w:rsidR="007C5433">
                              <w:rPr>
                                <w:rFonts w:asciiTheme="minorHAnsi" w:hAnsi="Calibri" w:cstheme="minorBidi"/>
                                <w:b/>
                                <w:bCs/>
                                <w:color w:val="FFFFFF" w:themeColor="background1"/>
                                <w:kern w:val="24"/>
                                <w:sz w:val="32"/>
                                <w:szCs w:val="36"/>
                              </w:rPr>
                              <w:t xml:space="preserve"> template</w:t>
                            </w:r>
                            <w:r w:rsidR="00A90D5F">
                              <w:rPr>
                                <w:rFonts w:asciiTheme="minorHAnsi" w:hAnsi="Calibri" w:cstheme="minorBidi"/>
                                <w:b/>
                                <w:bCs/>
                                <w:color w:val="FFFFFF" w:themeColor="background1"/>
                                <w:kern w:val="24"/>
                                <w:sz w:val="32"/>
                                <w:szCs w:val="36"/>
                              </w:rPr>
                              <w:t xml:space="preserve"> - </w:t>
                            </w:r>
                            <w:r w:rsidR="00C803DA">
                              <w:rPr>
                                <w:rFonts w:asciiTheme="minorHAnsi" w:hAnsi="Calibri" w:cstheme="minorBidi"/>
                                <w:b/>
                                <w:bCs/>
                                <w:color w:val="FFFFFF" w:themeColor="background1"/>
                                <w:kern w:val="24"/>
                                <w:sz w:val="32"/>
                                <w:szCs w:val="36"/>
                              </w:rPr>
                              <w:t>Annual Plan 20</w:t>
                            </w:r>
                            <w:r w:rsidR="00A90D5F">
                              <w:rPr>
                                <w:rFonts w:asciiTheme="minorHAnsi" w:hAnsi="Calibri" w:cstheme="minorBidi"/>
                                <w:b/>
                                <w:bCs/>
                                <w:color w:val="FFFFFF" w:themeColor="background1"/>
                                <w:kern w:val="24"/>
                                <w:sz w:val="32"/>
                                <w:szCs w:val="36"/>
                              </w:rPr>
                              <w:t>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3E892ED" id="_x0000_t202" coordsize="21600,21600" o:spt="202" path="m,l,21600r21600,l21600,xe">
                <v:stroke joinstyle="miter"/>
                <v:path gradientshapeok="t" o:connecttype="rect"/>
              </v:shapetype>
              <v:shape id="TextBox 6" o:spid="_x0000_s1026" type="#_x0000_t202" style="position:absolute;left:0;text-align:left;margin-left:42.15pt;margin-top:3.75pt;width:956.2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" fillcolor="#0070c0" stroked="f">
                <v:shadow on="t" color="black" opacity="26214f" origin="-.5,-.5" offset=".74836mm,.74836mm"/>
                <v:textbox>
                  <w:txbxContent>
                    <w:p w14:paraId="55D6C5DA" w14:textId="62B8958F" w:rsidR="00C803DA" w:rsidRPr="009B431E" w:rsidRDefault="00570645" w:rsidP="0049715A">
                      <w:pPr>
                        <w:pStyle w:val="NormalWeb"/>
                        <w:spacing w:before="0" w:beforeAutospacing="0" w:after="0" w:afterAutospacing="0"/>
                        <w:jc w:val="center"/>
                        <w:rPr>
                          <w:sz w:val="28"/>
                        </w:rPr>
                      </w:pPr>
                      <w:r>
                        <w:rPr>
                          <w:rFonts w:asciiTheme="minorHAnsi" w:hAnsi="Calibri" w:cstheme="minorBidi"/>
                          <w:b/>
                          <w:bCs/>
                          <w:color w:val="FFFFFF" w:themeColor="background1"/>
                          <w:kern w:val="24"/>
                          <w:sz w:val="32"/>
                          <w:szCs w:val="36"/>
                        </w:rPr>
                        <w:t xml:space="preserve">XXXX </w:t>
                      </w:r>
                      <w:r w:rsidR="00A90D5F">
                        <w:rPr>
                          <w:rFonts w:asciiTheme="minorHAnsi" w:hAnsi="Calibri" w:cstheme="minorBidi"/>
                          <w:b/>
                          <w:bCs/>
                          <w:color w:val="FFFFFF" w:themeColor="background1"/>
                          <w:kern w:val="24"/>
                          <w:sz w:val="32"/>
                          <w:szCs w:val="36"/>
                        </w:rPr>
                        <w:t>Learn Local Marketing</w:t>
                      </w:r>
                      <w:r w:rsidR="007C5433">
                        <w:rPr>
                          <w:rFonts w:asciiTheme="minorHAnsi" w:hAnsi="Calibri" w:cstheme="minorBidi"/>
                          <w:b/>
                          <w:bCs/>
                          <w:color w:val="FFFFFF" w:themeColor="background1"/>
                          <w:kern w:val="24"/>
                          <w:sz w:val="32"/>
                          <w:szCs w:val="36"/>
                        </w:rPr>
                        <w:t xml:space="preserve"> template</w:t>
                      </w:r>
                      <w:r w:rsidR="00A90D5F">
                        <w:rPr>
                          <w:rFonts w:asciiTheme="minorHAnsi" w:hAnsi="Calibri" w:cstheme="minorBidi"/>
                          <w:b/>
                          <w:bCs/>
                          <w:color w:val="FFFFFF" w:themeColor="background1"/>
                          <w:kern w:val="24"/>
                          <w:sz w:val="32"/>
                          <w:szCs w:val="36"/>
                        </w:rPr>
                        <w:t xml:space="preserve"> - </w:t>
                      </w:r>
                      <w:r w:rsidR="00C803DA">
                        <w:rPr>
                          <w:rFonts w:asciiTheme="minorHAnsi" w:hAnsi="Calibri" w:cstheme="minorBidi"/>
                          <w:b/>
                          <w:bCs/>
                          <w:color w:val="FFFFFF" w:themeColor="background1"/>
                          <w:kern w:val="24"/>
                          <w:sz w:val="32"/>
                          <w:szCs w:val="36"/>
                        </w:rPr>
                        <w:t>Annual Plan 20</w:t>
                      </w:r>
                      <w:r w:rsidR="00A90D5F">
                        <w:rPr>
                          <w:rFonts w:asciiTheme="minorHAnsi" w:hAnsi="Calibri" w:cstheme="minorBidi"/>
                          <w:b/>
                          <w:bCs/>
                          <w:color w:val="FFFFFF" w:themeColor="background1"/>
                          <w:kern w:val="24"/>
                          <w:sz w:val="32"/>
                          <w:szCs w:val="36"/>
                        </w:rPr>
                        <w:t>20</w:t>
                      </w:r>
                    </w:p>
                  </w:txbxContent>
                </v:textbox>
                <w10:wrap anchorx="margin"/>
              </v:shape>
            </w:pict>
          </mc:Fallback>
        </mc:AlternateContent>
      </w:r>
      <w:r>
        <w:rPr>
          <w:noProof/>
        </w:rPr>
        <w:drawing>
          <wp:inline distT="0" distB="0" distL="0" distR="0" wp14:anchorId="3CB0C96C" wp14:editId="48A48187">
            <wp:extent cx="1200150" cy="1351998"/>
            <wp:effectExtent l="0" t="0" r="0" b="635"/>
            <wp:docPr id="33" name="Google Shape;33;p6"/>
            <wp:cNvGraphicFramePr/>
            <a:graphic xmlns:a="http://schemas.openxmlformats.org/drawingml/2006/main">
              <a:graphicData uri="http://schemas.openxmlformats.org/drawingml/2006/picture">
                <pic:pic xmlns:pic="http://schemas.openxmlformats.org/drawingml/2006/picture">
                  <pic:nvPicPr>
                    <pic:cNvPr id="33" name="Google Shape;33;p6"/>
                    <pic:cNvPicPr preferRelativeResize="0"/>
                  </pic:nvPicPr>
                  <pic:blipFill>
                    <a:blip r:embed="rId6">
                      <a:alphaModFix/>
                    </a:blip>
                    <a:stretch>
                      <a:fillRect/>
                    </a:stretch>
                  </pic:blipFill>
                  <pic:spPr>
                    <a:xfrm>
                      <a:off x="0" y="0"/>
                      <a:ext cx="1216032" cy="1369889"/>
                    </a:xfrm>
                    <a:prstGeom prst="rect">
                      <a:avLst/>
                    </a:prstGeom>
                    <a:noFill/>
                    <a:ln>
                      <a:noFill/>
                    </a:ln>
                  </pic:spPr>
                </pic:pic>
              </a:graphicData>
            </a:graphic>
          </wp:inline>
        </w:drawing>
      </w:r>
    </w:p>
    <w:p w14:paraId="13047D46" w14:textId="5B037917" w:rsidR="00AA68A7" w:rsidRDefault="00AA68A7" w:rsidP="00AA68A7">
      <w:r>
        <w:t xml:space="preserve">This Annual Plan is underpinned by the </w:t>
      </w:r>
      <w:r w:rsidR="00570645">
        <w:t>XXXX</w:t>
      </w:r>
      <w:r w:rsidR="00A90D5F">
        <w:t xml:space="preserve"> Learn Local</w:t>
      </w:r>
      <w:r>
        <w:t xml:space="preserve"> Strategic Plan 201</w:t>
      </w:r>
      <w:r w:rsidR="00A90D5F">
        <w:t>9 - 2020</w:t>
      </w:r>
      <w:r>
        <w:t xml:space="preserve">. </w:t>
      </w:r>
      <w:r w:rsidR="00BF4821">
        <w:t>It provides detailed direction relating to the organisations</w:t>
      </w:r>
      <w:r w:rsidR="00A90D5F">
        <w:t xml:space="preserve"> marketing</w:t>
      </w:r>
      <w:r w:rsidR="00BF4821">
        <w:t xml:space="preserve"> goals and the activities required to achieve them throughout the year 20</w:t>
      </w:r>
      <w:r w:rsidR="00A90D5F">
        <w:t>20</w:t>
      </w:r>
      <w:r w:rsidR="00BF4821">
        <w:t xml:space="preserve">. This Annual Plan can be amended throughout the year by the Coordinator, with oversight by the Committee Chair. The Coordinator will update the Committee each quarter on the progress of the plan including any agreed amendments.  </w:t>
      </w:r>
    </w:p>
    <w:p w14:paraId="2E46B1BC" w14:textId="014A0862" w:rsidR="007A68D2" w:rsidRPr="00BF4821" w:rsidRDefault="00761F99" w:rsidP="00AA68A7">
      <w:pPr>
        <w:rPr>
          <w:b/>
        </w:rPr>
      </w:pPr>
      <w:r>
        <w:rPr>
          <w:b/>
        </w:rPr>
        <w:t xml:space="preserve">Action </w:t>
      </w:r>
      <w:r w:rsidR="00BF4821" w:rsidRPr="00BF4821">
        <w:rPr>
          <w:b/>
        </w:rPr>
        <w:t>Plan Summary</w:t>
      </w:r>
    </w:p>
    <w:tbl>
      <w:tblPr>
        <w:tblStyle w:val="TableGrid"/>
        <w:tblW w:w="0" w:type="auto"/>
        <w:tblLook w:val="04A0" w:firstRow="1" w:lastRow="0" w:firstColumn="1" w:lastColumn="0" w:noHBand="0" w:noVBand="1"/>
      </w:tblPr>
      <w:tblGrid>
        <w:gridCol w:w="3783"/>
        <w:gridCol w:w="6418"/>
        <w:gridCol w:w="12474"/>
      </w:tblGrid>
      <w:tr w:rsidR="00761F99" w14:paraId="48B232FC" w14:textId="77777777" w:rsidTr="00761F99">
        <w:tc>
          <w:tcPr>
            <w:tcW w:w="3783" w:type="dxa"/>
            <w:shd w:val="clear" w:color="auto" w:fill="0070C0"/>
          </w:tcPr>
          <w:p w14:paraId="7CAFD471" w14:textId="4059A0F4" w:rsidR="00761F99" w:rsidRPr="00BF4821" w:rsidRDefault="00761F99" w:rsidP="00AA68A7">
            <w:pPr>
              <w:rPr>
                <w:b/>
                <w:color w:val="FFFFFF" w:themeColor="background1"/>
                <w:sz w:val="24"/>
              </w:rPr>
            </w:pPr>
            <w:r w:rsidRPr="00BF4821">
              <w:rPr>
                <w:b/>
                <w:color w:val="FFFFFF" w:themeColor="background1"/>
                <w:sz w:val="24"/>
              </w:rPr>
              <w:t>Annual Goal</w:t>
            </w:r>
            <w:r w:rsidR="00570645">
              <w:rPr>
                <w:b/>
                <w:color w:val="FFFFFF" w:themeColor="background1"/>
                <w:sz w:val="24"/>
              </w:rPr>
              <w:t xml:space="preserve"> – examples only</w:t>
            </w:r>
          </w:p>
        </w:tc>
        <w:tc>
          <w:tcPr>
            <w:tcW w:w="6418" w:type="dxa"/>
            <w:shd w:val="clear" w:color="auto" w:fill="0070C0"/>
          </w:tcPr>
          <w:p w14:paraId="0075ED0A" w14:textId="3982A5FD" w:rsidR="00761F99" w:rsidRPr="00BF4821" w:rsidRDefault="00761F99" w:rsidP="00AA68A7">
            <w:pPr>
              <w:rPr>
                <w:b/>
                <w:color w:val="FFFFFF" w:themeColor="background1"/>
                <w:sz w:val="24"/>
              </w:rPr>
            </w:pPr>
            <w:r w:rsidRPr="00BF4821">
              <w:rPr>
                <w:b/>
                <w:color w:val="FFFFFF" w:themeColor="background1"/>
                <w:sz w:val="24"/>
              </w:rPr>
              <w:t>What does success look like?</w:t>
            </w:r>
            <w:r w:rsidR="00570645">
              <w:rPr>
                <w:b/>
                <w:color w:val="FFFFFF" w:themeColor="background1"/>
                <w:sz w:val="24"/>
              </w:rPr>
              <w:t xml:space="preserve"> – examples only</w:t>
            </w:r>
          </w:p>
        </w:tc>
        <w:tc>
          <w:tcPr>
            <w:tcW w:w="12474" w:type="dxa"/>
            <w:shd w:val="clear" w:color="auto" w:fill="0070C0"/>
          </w:tcPr>
          <w:p w14:paraId="47134105" w14:textId="77777777" w:rsidR="00761F99" w:rsidRPr="00BF4821" w:rsidRDefault="00761F99" w:rsidP="00AA68A7">
            <w:pPr>
              <w:rPr>
                <w:b/>
                <w:color w:val="FFFFFF" w:themeColor="background1"/>
                <w:sz w:val="24"/>
              </w:rPr>
            </w:pPr>
            <w:r w:rsidRPr="00BF4821">
              <w:rPr>
                <w:b/>
                <w:color w:val="FFFFFF" w:themeColor="background1"/>
                <w:sz w:val="24"/>
              </w:rPr>
              <w:t>How is it measured?</w:t>
            </w:r>
          </w:p>
        </w:tc>
      </w:tr>
      <w:tr w:rsidR="00761F99" w14:paraId="31A6FE91" w14:textId="77777777" w:rsidTr="00761F99">
        <w:tc>
          <w:tcPr>
            <w:tcW w:w="3783" w:type="dxa"/>
          </w:tcPr>
          <w:p w14:paraId="19FD4628" w14:textId="6616A61E" w:rsidR="00761F99" w:rsidRDefault="00761F99" w:rsidP="00761F99">
            <w:r>
              <w:t xml:space="preserve">Create a common set of professional guidelines/standards for all </w:t>
            </w:r>
            <w:proofErr w:type="spellStart"/>
            <w:r w:rsidR="00570645">
              <w:t>xxxx</w:t>
            </w:r>
            <w:proofErr w:type="spellEnd"/>
            <w:r w:rsidR="00570645">
              <w:t xml:space="preserve"> </w:t>
            </w:r>
            <w:r>
              <w:t>LL marketing</w:t>
            </w:r>
          </w:p>
        </w:tc>
        <w:tc>
          <w:tcPr>
            <w:tcW w:w="6418" w:type="dxa"/>
          </w:tcPr>
          <w:p w14:paraId="24791BD0" w14:textId="55EC8130" w:rsidR="00761F99" w:rsidRDefault="00761F99" w:rsidP="00761F99">
            <w:r>
              <w:t xml:space="preserve">A set of common marketing guidelines/standards </w:t>
            </w:r>
          </w:p>
        </w:tc>
        <w:tc>
          <w:tcPr>
            <w:tcW w:w="12474" w:type="dxa"/>
          </w:tcPr>
          <w:p w14:paraId="552CC5A4" w14:textId="77777777" w:rsidR="00761F99" w:rsidRDefault="00761F99" w:rsidP="00761F99"/>
        </w:tc>
      </w:tr>
      <w:tr w:rsidR="00761F99" w14:paraId="6DD8BAB1" w14:textId="77777777" w:rsidTr="00761F99">
        <w:tc>
          <w:tcPr>
            <w:tcW w:w="3783" w:type="dxa"/>
          </w:tcPr>
          <w:p w14:paraId="299D1A58" w14:textId="77777777" w:rsidR="00761F99" w:rsidRDefault="00761F99" w:rsidP="00761F99">
            <w:r>
              <w:t xml:space="preserve">Effective use of participant stories </w:t>
            </w:r>
          </w:p>
          <w:p w14:paraId="722B9FA9" w14:textId="10305798" w:rsidR="00761F99" w:rsidRDefault="00761F99" w:rsidP="00761F99"/>
        </w:tc>
        <w:tc>
          <w:tcPr>
            <w:tcW w:w="6418" w:type="dxa"/>
          </w:tcPr>
          <w:p w14:paraId="0E9901C6" w14:textId="1EAA1FC3" w:rsidR="00761F99" w:rsidRDefault="00761F99" w:rsidP="00761F99">
            <w:r>
              <w:t>A data base of participant stories that can be used for all components of the marketing strategy – print media, social media, website</w:t>
            </w:r>
          </w:p>
        </w:tc>
        <w:tc>
          <w:tcPr>
            <w:tcW w:w="12474" w:type="dxa"/>
          </w:tcPr>
          <w:p w14:paraId="1EE5B836" w14:textId="77777777" w:rsidR="00761F99" w:rsidRDefault="00761F99" w:rsidP="00761F99"/>
        </w:tc>
      </w:tr>
      <w:tr w:rsidR="00761F99" w14:paraId="3FBA000F" w14:textId="77777777" w:rsidTr="00761F99">
        <w:tc>
          <w:tcPr>
            <w:tcW w:w="3783" w:type="dxa"/>
          </w:tcPr>
          <w:p w14:paraId="5BC3E100" w14:textId="77777777" w:rsidR="00761F99" w:rsidRDefault="00761F99" w:rsidP="00761F99">
            <w:r>
              <w:t>Effective use of Social Media</w:t>
            </w:r>
          </w:p>
          <w:p w14:paraId="3CFF886B" w14:textId="0B0862D3" w:rsidR="00761F99" w:rsidRDefault="00761F99" w:rsidP="00761F99"/>
        </w:tc>
        <w:tc>
          <w:tcPr>
            <w:tcW w:w="6418" w:type="dxa"/>
          </w:tcPr>
          <w:p w14:paraId="322135F5" w14:textId="276C8471" w:rsidR="00761F99" w:rsidRDefault="00761F99" w:rsidP="00761F99">
            <w:r>
              <w:t xml:space="preserve">A </w:t>
            </w:r>
            <w:proofErr w:type="gramStart"/>
            <w:r>
              <w:t>12 month</w:t>
            </w:r>
            <w:proofErr w:type="gramEnd"/>
            <w:r>
              <w:t xml:space="preserve"> planned social media calendar that targets our identified key priority areas</w:t>
            </w:r>
          </w:p>
        </w:tc>
        <w:tc>
          <w:tcPr>
            <w:tcW w:w="12474" w:type="dxa"/>
          </w:tcPr>
          <w:p w14:paraId="3F1FBD9D" w14:textId="77777777" w:rsidR="00761F99" w:rsidRDefault="00761F99" w:rsidP="00761F99"/>
        </w:tc>
      </w:tr>
      <w:tr w:rsidR="00761F99" w14:paraId="64399FDA" w14:textId="77777777" w:rsidTr="00761F99">
        <w:tc>
          <w:tcPr>
            <w:tcW w:w="3783" w:type="dxa"/>
          </w:tcPr>
          <w:p w14:paraId="61C3E2FB" w14:textId="77777777" w:rsidR="00761F99" w:rsidRDefault="00761F99" w:rsidP="00761F99">
            <w:r>
              <w:t>Identify three key partners to develop relationships with</w:t>
            </w:r>
          </w:p>
          <w:p w14:paraId="48E1493C" w14:textId="049BA2DE" w:rsidR="00761F99" w:rsidRDefault="00761F99" w:rsidP="00761F99"/>
        </w:tc>
        <w:tc>
          <w:tcPr>
            <w:tcW w:w="6418" w:type="dxa"/>
          </w:tcPr>
          <w:p w14:paraId="2139684D" w14:textId="77777777" w:rsidR="00761F99" w:rsidRDefault="00761F99" w:rsidP="00761F99">
            <w:r>
              <w:t xml:space="preserve">Positive </w:t>
            </w:r>
            <w:proofErr w:type="gramStart"/>
            <w:r>
              <w:t>two way</w:t>
            </w:r>
            <w:proofErr w:type="gramEnd"/>
            <w:r>
              <w:t xml:space="preserve"> working relationships </w:t>
            </w:r>
            <w:r w:rsidR="009A31E0">
              <w:t xml:space="preserve">with a focus on </w:t>
            </w:r>
          </w:p>
          <w:p w14:paraId="14CF3C2A" w14:textId="77777777" w:rsidR="009A31E0" w:rsidRDefault="009A31E0" w:rsidP="00761F99">
            <w:r>
              <w:t>Community needs</w:t>
            </w:r>
          </w:p>
          <w:p w14:paraId="2ED4C428" w14:textId="77777777" w:rsidR="009A31E0" w:rsidRDefault="009A31E0" w:rsidP="00761F99">
            <w:r>
              <w:t>Community advocacy</w:t>
            </w:r>
          </w:p>
          <w:p w14:paraId="05C35CA4" w14:textId="29BD852D" w:rsidR="009A31E0" w:rsidRDefault="009A31E0" w:rsidP="00761F99">
            <w:r>
              <w:t>Future focus</w:t>
            </w:r>
          </w:p>
        </w:tc>
        <w:tc>
          <w:tcPr>
            <w:tcW w:w="12474" w:type="dxa"/>
          </w:tcPr>
          <w:p w14:paraId="32C5AAE3" w14:textId="77777777" w:rsidR="00761F99" w:rsidRDefault="00761F99" w:rsidP="00761F99"/>
        </w:tc>
      </w:tr>
      <w:tr w:rsidR="00761F99" w14:paraId="3DC45844" w14:textId="77777777" w:rsidTr="00761F99">
        <w:tc>
          <w:tcPr>
            <w:tcW w:w="3783" w:type="dxa"/>
          </w:tcPr>
          <w:p w14:paraId="7BDA8429" w14:textId="79ABD74C" w:rsidR="00761F99" w:rsidRDefault="00761F99" w:rsidP="00761F99">
            <w:r>
              <w:t>Effective use of the Gippsland Learn Local brand</w:t>
            </w:r>
          </w:p>
        </w:tc>
        <w:tc>
          <w:tcPr>
            <w:tcW w:w="6418" w:type="dxa"/>
          </w:tcPr>
          <w:p w14:paraId="090D13C8" w14:textId="3FAD4EDE" w:rsidR="00761F99" w:rsidRDefault="00761F99" w:rsidP="00761F99">
            <w:r>
              <w:t>Gippsland Learn Local branding is supported and used effectively throughout all aspects of the marketing strategy</w:t>
            </w:r>
          </w:p>
        </w:tc>
        <w:tc>
          <w:tcPr>
            <w:tcW w:w="12474" w:type="dxa"/>
          </w:tcPr>
          <w:p w14:paraId="55BC8EEF" w14:textId="77777777" w:rsidR="00761F99" w:rsidRDefault="00761F99" w:rsidP="00761F99"/>
        </w:tc>
      </w:tr>
      <w:tr w:rsidR="00761F99" w14:paraId="69940854" w14:textId="77777777" w:rsidTr="00761F99">
        <w:tc>
          <w:tcPr>
            <w:tcW w:w="3783" w:type="dxa"/>
          </w:tcPr>
          <w:p w14:paraId="05BA80CD" w14:textId="267A97E1" w:rsidR="00761F99" w:rsidRDefault="00761F99" w:rsidP="00761F99">
            <w:r>
              <w:t>What else??</w:t>
            </w:r>
          </w:p>
        </w:tc>
        <w:tc>
          <w:tcPr>
            <w:tcW w:w="6418" w:type="dxa"/>
          </w:tcPr>
          <w:p w14:paraId="5EEBDDC9" w14:textId="77777777" w:rsidR="00761F99" w:rsidRDefault="00761F99" w:rsidP="00761F99"/>
        </w:tc>
        <w:tc>
          <w:tcPr>
            <w:tcW w:w="12474" w:type="dxa"/>
          </w:tcPr>
          <w:p w14:paraId="19A85365" w14:textId="77777777" w:rsidR="00761F99" w:rsidRDefault="00761F99" w:rsidP="00761F99"/>
        </w:tc>
      </w:tr>
    </w:tbl>
    <w:p w14:paraId="6F107905" w14:textId="77777777" w:rsidR="00BF4821" w:rsidRDefault="00BF4821" w:rsidP="00AA68A7"/>
    <w:p w14:paraId="65FFB458" w14:textId="77777777" w:rsidR="00BF4821" w:rsidRPr="00BF4821" w:rsidRDefault="00BF4821" w:rsidP="00AA68A7">
      <w:pPr>
        <w:rPr>
          <w:b/>
        </w:rPr>
      </w:pPr>
      <w:r w:rsidRPr="00BF4821">
        <w:rPr>
          <w:b/>
        </w:rPr>
        <w:t>Plan Working Table</w:t>
      </w:r>
    </w:p>
    <w:tbl>
      <w:tblPr>
        <w:tblStyle w:val="TableGrid"/>
        <w:tblW w:w="22678" w:type="dxa"/>
        <w:tblLook w:val="04A0" w:firstRow="1" w:lastRow="0" w:firstColumn="1" w:lastColumn="0" w:noHBand="0" w:noVBand="1"/>
      </w:tblPr>
      <w:tblGrid>
        <w:gridCol w:w="3859"/>
        <w:gridCol w:w="7149"/>
        <w:gridCol w:w="1251"/>
        <w:gridCol w:w="1822"/>
        <w:gridCol w:w="1940"/>
        <w:gridCol w:w="1513"/>
        <w:gridCol w:w="1536"/>
        <w:gridCol w:w="1717"/>
        <w:gridCol w:w="1891"/>
      </w:tblGrid>
      <w:tr w:rsidR="00BF4821" w14:paraId="51780651" w14:textId="77777777" w:rsidTr="009A31E0">
        <w:trPr>
          <w:trHeight w:val="541"/>
        </w:trPr>
        <w:tc>
          <w:tcPr>
            <w:tcW w:w="3859" w:type="dxa"/>
            <w:tcBorders>
              <w:top w:val="single" w:sz="4" w:space="0" w:color="auto"/>
            </w:tcBorders>
          </w:tcPr>
          <w:p w14:paraId="6DB54F27" w14:textId="77777777" w:rsidR="00BF4821" w:rsidRPr="00AA68A7" w:rsidRDefault="00BF4821" w:rsidP="00E9649A">
            <w:pPr>
              <w:jc w:val="center"/>
              <w:rPr>
                <w:b/>
              </w:rPr>
            </w:pPr>
            <w:r w:rsidRPr="00AA68A7">
              <w:rPr>
                <w:b/>
              </w:rPr>
              <w:t>Annual Goal</w:t>
            </w:r>
          </w:p>
        </w:tc>
        <w:tc>
          <w:tcPr>
            <w:tcW w:w="7149" w:type="dxa"/>
            <w:tcBorders>
              <w:top w:val="single" w:sz="4" w:space="0" w:color="auto"/>
            </w:tcBorders>
          </w:tcPr>
          <w:p w14:paraId="5FAA6E72" w14:textId="77777777" w:rsidR="00BF4821" w:rsidRPr="00AA68A7" w:rsidRDefault="00BF4821" w:rsidP="00E9649A">
            <w:pPr>
              <w:jc w:val="center"/>
              <w:rPr>
                <w:b/>
              </w:rPr>
            </w:pPr>
            <w:r w:rsidRPr="00AA68A7">
              <w:rPr>
                <w:b/>
              </w:rPr>
              <w:t>Activities</w:t>
            </w:r>
          </w:p>
        </w:tc>
        <w:tc>
          <w:tcPr>
            <w:tcW w:w="1251" w:type="dxa"/>
            <w:tcBorders>
              <w:top w:val="single" w:sz="4" w:space="0" w:color="auto"/>
            </w:tcBorders>
          </w:tcPr>
          <w:p w14:paraId="285BFF2E" w14:textId="77777777" w:rsidR="00BF4821" w:rsidRPr="00AA68A7" w:rsidRDefault="00BF4821" w:rsidP="00E9649A">
            <w:pPr>
              <w:jc w:val="center"/>
              <w:rPr>
                <w:b/>
              </w:rPr>
            </w:pPr>
            <w:r w:rsidRPr="00AA68A7">
              <w:rPr>
                <w:b/>
              </w:rPr>
              <w:t>Priority (</w:t>
            </w:r>
            <w:proofErr w:type="gramStart"/>
            <w:r w:rsidRPr="00AA68A7">
              <w:rPr>
                <w:b/>
              </w:rPr>
              <w:t>H,M</w:t>
            </w:r>
            <w:proofErr w:type="gramEnd"/>
            <w:r w:rsidRPr="00AA68A7">
              <w:rPr>
                <w:b/>
              </w:rPr>
              <w:t>,L)</w:t>
            </w:r>
          </w:p>
        </w:tc>
        <w:tc>
          <w:tcPr>
            <w:tcW w:w="1822" w:type="dxa"/>
            <w:tcBorders>
              <w:top w:val="single" w:sz="4" w:space="0" w:color="auto"/>
            </w:tcBorders>
          </w:tcPr>
          <w:p w14:paraId="6C595389" w14:textId="77777777" w:rsidR="00BF4821" w:rsidRPr="00AA68A7" w:rsidRDefault="00BF4821" w:rsidP="00E9649A">
            <w:pPr>
              <w:jc w:val="center"/>
              <w:rPr>
                <w:b/>
              </w:rPr>
            </w:pPr>
            <w:r w:rsidRPr="00AA68A7">
              <w:rPr>
                <w:b/>
              </w:rPr>
              <w:t>Responsibility</w:t>
            </w:r>
          </w:p>
        </w:tc>
        <w:tc>
          <w:tcPr>
            <w:tcW w:w="1940" w:type="dxa"/>
            <w:tcBorders>
              <w:top w:val="single" w:sz="4" w:space="0" w:color="auto"/>
            </w:tcBorders>
          </w:tcPr>
          <w:p w14:paraId="39E6A814" w14:textId="77777777" w:rsidR="00BF4821" w:rsidRPr="00AA68A7" w:rsidRDefault="00BF4821" w:rsidP="00E9649A">
            <w:pPr>
              <w:jc w:val="center"/>
              <w:rPr>
                <w:b/>
              </w:rPr>
            </w:pPr>
            <w:r w:rsidRPr="00AA68A7">
              <w:rPr>
                <w:b/>
              </w:rPr>
              <w:t>Timeframe</w:t>
            </w:r>
          </w:p>
        </w:tc>
        <w:tc>
          <w:tcPr>
            <w:tcW w:w="1513" w:type="dxa"/>
            <w:tcBorders>
              <w:top w:val="single" w:sz="4" w:space="0" w:color="auto"/>
            </w:tcBorders>
          </w:tcPr>
          <w:p w14:paraId="60CAE41A" w14:textId="77777777" w:rsidR="00BF4821" w:rsidRDefault="00BF4821" w:rsidP="00AA68A7">
            <w:pPr>
              <w:rPr>
                <w:b/>
              </w:rPr>
            </w:pPr>
            <w:r>
              <w:rPr>
                <w:b/>
              </w:rPr>
              <w:t>Tracking</w:t>
            </w:r>
          </w:p>
          <w:p w14:paraId="629D954E" w14:textId="77777777" w:rsidR="00BF4821" w:rsidRDefault="00BF4821" w:rsidP="00AA68A7">
            <w:pPr>
              <w:rPr>
                <w:b/>
              </w:rPr>
            </w:pPr>
            <w:r>
              <w:rPr>
                <w:b/>
              </w:rPr>
              <w:t>1</w:t>
            </w:r>
            <w:r w:rsidRPr="007A68D2">
              <w:rPr>
                <w:b/>
                <w:vertAlign w:val="superscript"/>
              </w:rPr>
              <w:t>st</w:t>
            </w:r>
            <w:r>
              <w:rPr>
                <w:b/>
              </w:rPr>
              <w:t xml:space="preserve"> Quarter</w:t>
            </w:r>
          </w:p>
        </w:tc>
        <w:tc>
          <w:tcPr>
            <w:tcW w:w="1536" w:type="dxa"/>
            <w:tcBorders>
              <w:top w:val="single" w:sz="4" w:space="0" w:color="auto"/>
            </w:tcBorders>
          </w:tcPr>
          <w:p w14:paraId="5275C5B3" w14:textId="77777777" w:rsidR="00BF4821" w:rsidRDefault="00BF4821" w:rsidP="00AA68A7">
            <w:pPr>
              <w:rPr>
                <w:b/>
              </w:rPr>
            </w:pPr>
            <w:r>
              <w:rPr>
                <w:b/>
              </w:rPr>
              <w:t>Tracking</w:t>
            </w:r>
          </w:p>
          <w:p w14:paraId="0B2E413E" w14:textId="77777777" w:rsidR="00BF4821" w:rsidRDefault="00BF4821" w:rsidP="00AA68A7">
            <w:pPr>
              <w:rPr>
                <w:b/>
              </w:rPr>
            </w:pPr>
            <w:r>
              <w:rPr>
                <w:b/>
              </w:rPr>
              <w:t>2</w:t>
            </w:r>
            <w:r w:rsidRPr="007A68D2">
              <w:rPr>
                <w:b/>
                <w:vertAlign w:val="superscript"/>
              </w:rPr>
              <w:t>nd</w:t>
            </w:r>
            <w:r>
              <w:rPr>
                <w:b/>
              </w:rPr>
              <w:t xml:space="preserve"> Quarter</w:t>
            </w:r>
          </w:p>
        </w:tc>
        <w:tc>
          <w:tcPr>
            <w:tcW w:w="1717" w:type="dxa"/>
            <w:tcBorders>
              <w:top w:val="single" w:sz="4" w:space="0" w:color="auto"/>
            </w:tcBorders>
          </w:tcPr>
          <w:p w14:paraId="08899981" w14:textId="77777777" w:rsidR="00BF4821" w:rsidRDefault="00BF4821" w:rsidP="00AA68A7">
            <w:pPr>
              <w:rPr>
                <w:b/>
              </w:rPr>
            </w:pPr>
            <w:r>
              <w:rPr>
                <w:b/>
              </w:rPr>
              <w:t xml:space="preserve">Tracking </w:t>
            </w:r>
          </w:p>
          <w:p w14:paraId="21D2A343" w14:textId="77777777" w:rsidR="00BF4821" w:rsidRDefault="00BF4821" w:rsidP="00AA68A7">
            <w:pPr>
              <w:rPr>
                <w:b/>
              </w:rPr>
            </w:pPr>
            <w:r>
              <w:rPr>
                <w:b/>
              </w:rPr>
              <w:t>3</w:t>
            </w:r>
            <w:r w:rsidRPr="007A68D2">
              <w:rPr>
                <w:b/>
                <w:vertAlign w:val="superscript"/>
              </w:rPr>
              <w:t>rd</w:t>
            </w:r>
            <w:r>
              <w:rPr>
                <w:b/>
              </w:rPr>
              <w:t xml:space="preserve"> Quarter</w:t>
            </w:r>
          </w:p>
        </w:tc>
        <w:tc>
          <w:tcPr>
            <w:tcW w:w="1891" w:type="dxa"/>
            <w:tcBorders>
              <w:top w:val="single" w:sz="4" w:space="0" w:color="auto"/>
            </w:tcBorders>
          </w:tcPr>
          <w:p w14:paraId="28CDFA10" w14:textId="77777777" w:rsidR="00BF4821" w:rsidRDefault="00BF4821" w:rsidP="00AA68A7">
            <w:pPr>
              <w:rPr>
                <w:b/>
              </w:rPr>
            </w:pPr>
            <w:r>
              <w:rPr>
                <w:b/>
              </w:rPr>
              <w:t xml:space="preserve">Tracking </w:t>
            </w:r>
          </w:p>
          <w:p w14:paraId="00FEFE8D" w14:textId="77777777" w:rsidR="00BF4821" w:rsidRPr="00AA68A7" w:rsidRDefault="00BF4821" w:rsidP="00AA68A7">
            <w:pPr>
              <w:rPr>
                <w:b/>
              </w:rPr>
            </w:pPr>
            <w:r>
              <w:rPr>
                <w:b/>
              </w:rPr>
              <w:t>(Annual Review)</w:t>
            </w:r>
          </w:p>
        </w:tc>
      </w:tr>
      <w:tr w:rsidR="00BF4821" w14:paraId="007CECA8" w14:textId="77777777" w:rsidTr="009A31E0">
        <w:trPr>
          <w:trHeight w:val="276"/>
        </w:trPr>
        <w:tc>
          <w:tcPr>
            <w:tcW w:w="3859" w:type="dxa"/>
          </w:tcPr>
          <w:p w14:paraId="049739E2" w14:textId="5A7E7A7E" w:rsidR="00BF4821" w:rsidRDefault="009A31E0">
            <w:r>
              <w:t xml:space="preserve">Create a common set of professional guidelines/standards for all </w:t>
            </w:r>
            <w:proofErr w:type="spellStart"/>
            <w:r w:rsidR="00570645">
              <w:t>xxxx</w:t>
            </w:r>
            <w:proofErr w:type="spellEnd"/>
            <w:r>
              <w:t xml:space="preserve"> LL marketing</w:t>
            </w:r>
          </w:p>
        </w:tc>
        <w:tc>
          <w:tcPr>
            <w:tcW w:w="7149" w:type="dxa"/>
          </w:tcPr>
          <w:p w14:paraId="3894339F" w14:textId="77777777" w:rsidR="00BF4821" w:rsidRDefault="00BF4821"/>
        </w:tc>
        <w:tc>
          <w:tcPr>
            <w:tcW w:w="1251" w:type="dxa"/>
          </w:tcPr>
          <w:p w14:paraId="288D2E29" w14:textId="77777777" w:rsidR="00BF4821" w:rsidRDefault="00BF4821"/>
        </w:tc>
        <w:tc>
          <w:tcPr>
            <w:tcW w:w="1822" w:type="dxa"/>
          </w:tcPr>
          <w:p w14:paraId="4B3094BD" w14:textId="77777777" w:rsidR="00BF4821" w:rsidRDefault="00BF4821"/>
        </w:tc>
        <w:tc>
          <w:tcPr>
            <w:tcW w:w="1940" w:type="dxa"/>
          </w:tcPr>
          <w:p w14:paraId="21C6F931" w14:textId="77777777" w:rsidR="00BF4821" w:rsidRDefault="00BF4821"/>
        </w:tc>
        <w:tc>
          <w:tcPr>
            <w:tcW w:w="1513" w:type="dxa"/>
          </w:tcPr>
          <w:p w14:paraId="6952A12B" w14:textId="77777777" w:rsidR="00BF4821" w:rsidRDefault="00BF4821"/>
        </w:tc>
        <w:tc>
          <w:tcPr>
            <w:tcW w:w="1536" w:type="dxa"/>
          </w:tcPr>
          <w:p w14:paraId="21FDDCB1" w14:textId="77777777" w:rsidR="00BF4821" w:rsidRDefault="00BF4821"/>
        </w:tc>
        <w:tc>
          <w:tcPr>
            <w:tcW w:w="1717" w:type="dxa"/>
          </w:tcPr>
          <w:p w14:paraId="230845A0" w14:textId="77777777" w:rsidR="00BF4821" w:rsidRDefault="00BF4821"/>
        </w:tc>
        <w:tc>
          <w:tcPr>
            <w:tcW w:w="1891" w:type="dxa"/>
          </w:tcPr>
          <w:p w14:paraId="0F63BE01" w14:textId="77777777" w:rsidR="00BF4821" w:rsidRDefault="00BF4821"/>
        </w:tc>
      </w:tr>
      <w:tr w:rsidR="00BF4821" w14:paraId="3CA6FC75" w14:textId="77777777" w:rsidTr="009A31E0">
        <w:trPr>
          <w:trHeight w:val="286"/>
        </w:trPr>
        <w:tc>
          <w:tcPr>
            <w:tcW w:w="3859" w:type="dxa"/>
          </w:tcPr>
          <w:p w14:paraId="7284BF8A" w14:textId="77777777" w:rsidR="009A31E0" w:rsidRDefault="009A31E0" w:rsidP="009A31E0">
            <w:r>
              <w:t xml:space="preserve">Effective use of participant stories </w:t>
            </w:r>
          </w:p>
          <w:p w14:paraId="538F96A9" w14:textId="77777777" w:rsidR="00BF4821" w:rsidRDefault="00BF4821"/>
        </w:tc>
        <w:tc>
          <w:tcPr>
            <w:tcW w:w="7149" w:type="dxa"/>
          </w:tcPr>
          <w:p w14:paraId="4693C2FD" w14:textId="77777777" w:rsidR="00BF4821" w:rsidRDefault="00BF4821"/>
        </w:tc>
        <w:tc>
          <w:tcPr>
            <w:tcW w:w="1251" w:type="dxa"/>
          </w:tcPr>
          <w:p w14:paraId="2DAC30F0" w14:textId="77777777" w:rsidR="00BF4821" w:rsidRDefault="00BF4821"/>
        </w:tc>
        <w:tc>
          <w:tcPr>
            <w:tcW w:w="1822" w:type="dxa"/>
          </w:tcPr>
          <w:p w14:paraId="41DE3689" w14:textId="77777777" w:rsidR="00BF4821" w:rsidRDefault="00BF4821"/>
        </w:tc>
        <w:tc>
          <w:tcPr>
            <w:tcW w:w="1940" w:type="dxa"/>
          </w:tcPr>
          <w:p w14:paraId="04DF0D53" w14:textId="77777777" w:rsidR="00BF4821" w:rsidRDefault="00BF4821"/>
        </w:tc>
        <w:tc>
          <w:tcPr>
            <w:tcW w:w="1513" w:type="dxa"/>
          </w:tcPr>
          <w:p w14:paraId="7C0EDDAC" w14:textId="77777777" w:rsidR="00BF4821" w:rsidRDefault="00BF4821"/>
        </w:tc>
        <w:tc>
          <w:tcPr>
            <w:tcW w:w="1536" w:type="dxa"/>
          </w:tcPr>
          <w:p w14:paraId="615B1C59" w14:textId="77777777" w:rsidR="00BF4821" w:rsidRDefault="00BF4821"/>
        </w:tc>
        <w:tc>
          <w:tcPr>
            <w:tcW w:w="1717" w:type="dxa"/>
          </w:tcPr>
          <w:p w14:paraId="7F5B6EC0" w14:textId="77777777" w:rsidR="00BF4821" w:rsidRDefault="00BF4821"/>
        </w:tc>
        <w:tc>
          <w:tcPr>
            <w:tcW w:w="1891" w:type="dxa"/>
          </w:tcPr>
          <w:p w14:paraId="71B4B595" w14:textId="77777777" w:rsidR="00BF4821" w:rsidRDefault="00BF4821"/>
        </w:tc>
      </w:tr>
      <w:tr w:rsidR="00BF4821" w14:paraId="274671FC" w14:textId="77777777" w:rsidTr="009A31E0">
        <w:trPr>
          <w:trHeight w:val="286"/>
        </w:trPr>
        <w:tc>
          <w:tcPr>
            <w:tcW w:w="3859" w:type="dxa"/>
          </w:tcPr>
          <w:p w14:paraId="076445DD" w14:textId="77777777" w:rsidR="009A31E0" w:rsidRDefault="009A31E0" w:rsidP="009A31E0">
            <w:r>
              <w:t>Effective use of Social Media</w:t>
            </w:r>
          </w:p>
          <w:p w14:paraId="6D2FDA8F" w14:textId="77777777" w:rsidR="00BF4821" w:rsidRDefault="00BF4821"/>
        </w:tc>
        <w:tc>
          <w:tcPr>
            <w:tcW w:w="7149" w:type="dxa"/>
          </w:tcPr>
          <w:p w14:paraId="5FE099C8" w14:textId="77777777" w:rsidR="00BF4821" w:rsidRDefault="00BF4821"/>
        </w:tc>
        <w:tc>
          <w:tcPr>
            <w:tcW w:w="1251" w:type="dxa"/>
          </w:tcPr>
          <w:p w14:paraId="467874FB" w14:textId="77777777" w:rsidR="00BF4821" w:rsidRDefault="00BF4821"/>
        </w:tc>
        <w:tc>
          <w:tcPr>
            <w:tcW w:w="1822" w:type="dxa"/>
          </w:tcPr>
          <w:p w14:paraId="162CAD88" w14:textId="77777777" w:rsidR="00BF4821" w:rsidRDefault="00BF4821"/>
        </w:tc>
        <w:tc>
          <w:tcPr>
            <w:tcW w:w="1940" w:type="dxa"/>
          </w:tcPr>
          <w:p w14:paraId="4B0A06E8" w14:textId="77777777" w:rsidR="00BF4821" w:rsidRDefault="00BF4821"/>
        </w:tc>
        <w:tc>
          <w:tcPr>
            <w:tcW w:w="1513" w:type="dxa"/>
          </w:tcPr>
          <w:p w14:paraId="5AB7DD94" w14:textId="77777777" w:rsidR="00BF4821" w:rsidRDefault="00BF4821"/>
        </w:tc>
        <w:tc>
          <w:tcPr>
            <w:tcW w:w="1536" w:type="dxa"/>
          </w:tcPr>
          <w:p w14:paraId="5ABC54CD" w14:textId="77777777" w:rsidR="00BF4821" w:rsidRDefault="00BF4821"/>
        </w:tc>
        <w:tc>
          <w:tcPr>
            <w:tcW w:w="1717" w:type="dxa"/>
          </w:tcPr>
          <w:p w14:paraId="060E14BE" w14:textId="77777777" w:rsidR="00BF4821" w:rsidRDefault="00BF4821"/>
        </w:tc>
        <w:tc>
          <w:tcPr>
            <w:tcW w:w="1891" w:type="dxa"/>
          </w:tcPr>
          <w:p w14:paraId="653E6F73" w14:textId="77777777" w:rsidR="00BF4821" w:rsidRDefault="00BF4821"/>
        </w:tc>
      </w:tr>
      <w:tr w:rsidR="00BF4821" w14:paraId="46C67736" w14:textId="77777777" w:rsidTr="009A31E0">
        <w:trPr>
          <w:trHeight w:val="286"/>
        </w:trPr>
        <w:tc>
          <w:tcPr>
            <w:tcW w:w="3859" w:type="dxa"/>
          </w:tcPr>
          <w:p w14:paraId="023DF6DA" w14:textId="77777777" w:rsidR="009A31E0" w:rsidRDefault="009A31E0" w:rsidP="009A31E0">
            <w:r>
              <w:t>Identify three key partners to develop relationships with</w:t>
            </w:r>
          </w:p>
          <w:p w14:paraId="548F96E7" w14:textId="77777777" w:rsidR="00BF4821" w:rsidRDefault="00BF4821"/>
        </w:tc>
        <w:tc>
          <w:tcPr>
            <w:tcW w:w="7149" w:type="dxa"/>
          </w:tcPr>
          <w:p w14:paraId="239D0B43" w14:textId="77777777" w:rsidR="00BF4821" w:rsidRDefault="00BF4821"/>
        </w:tc>
        <w:tc>
          <w:tcPr>
            <w:tcW w:w="1251" w:type="dxa"/>
          </w:tcPr>
          <w:p w14:paraId="5AC5E008" w14:textId="77777777" w:rsidR="00BF4821" w:rsidRDefault="00BF4821"/>
        </w:tc>
        <w:tc>
          <w:tcPr>
            <w:tcW w:w="1822" w:type="dxa"/>
          </w:tcPr>
          <w:p w14:paraId="743072D0" w14:textId="77777777" w:rsidR="00BF4821" w:rsidRDefault="00BF4821"/>
        </w:tc>
        <w:tc>
          <w:tcPr>
            <w:tcW w:w="1940" w:type="dxa"/>
          </w:tcPr>
          <w:p w14:paraId="01B18296" w14:textId="77777777" w:rsidR="00BF4821" w:rsidRDefault="00BF4821"/>
        </w:tc>
        <w:tc>
          <w:tcPr>
            <w:tcW w:w="1513" w:type="dxa"/>
          </w:tcPr>
          <w:p w14:paraId="11EB730F" w14:textId="77777777" w:rsidR="00BF4821" w:rsidRDefault="00BF4821"/>
        </w:tc>
        <w:tc>
          <w:tcPr>
            <w:tcW w:w="1536" w:type="dxa"/>
          </w:tcPr>
          <w:p w14:paraId="10A9D3A2" w14:textId="77777777" w:rsidR="00BF4821" w:rsidRDefault="00BF4821"/>
        </w:tc>
        <w:tc>
          <w:tcPr>
            <w:tcW w:w="1717" w:type="dxa"/>
          </w:tcPr>
          <w:p w14:paraId="5E28956A" w14:textId="77777777" w:rsidR="00BF4821" w:rsidRDefault="00BF4821"/>
        </w:tc>
        <w:tc>
          <w:tcPr>
            <w:tcW w:w="1891" w:type="dxa"/>
          </w:tcPr>
          <w:p w14:paraId="55F8D9C0" w14:textId="77777777" w:rsidR="00BF4821" w:rsidRDefault="00BF4821"/>
        </w:tc>
      </w:tr>
      <w:tr w:rsidR="00BF4821" w14:paraId="46765D24" w14:textId="77777777" w:rsidTr="009A31E0">
        <w:trPr>
          <w:trHeight w:val="286"/>
        </w:trPr>
        <w:tc>
          <w:tcPr>
            <w:tcW w:w="3859" w:type="dxa"/>
          </w:tcPr>
          <w:p w14:paraId="46D83200" w14:textId="2CA1EFC6" w:rsidR="00BF4821" w:rsidRDefault="009A31E0">
            <w:r>
              <w:t>Effective use of the Gippsland Learn Local brand</w:t>
            </w:r>
          </w:p>
        </w:tc>
        <w:tc>
          <w:tcPr>
            <w:tcW w:w="7149" w:type="dxa"/>
          </w:tcPr>
          <w:p w14:paraId="6F030C9A" w14:textId="77777777" w:rsidR="00BF4821" w:rsidRDefault="00BF4821"/>
        </w:tc>
        <w:tc>
          <w:tcPr>
            <w:tcW w:w="1251" w:type="dxa"/>
          </w:tcPr>
          <w:p w14:paraId="630771A5" w14:textId="77777777" w:rsidR="00BF4821" w:rsidRDefault="00BF4821"/>
        </w:tc>
        <w:tc>
          <w:tcPr>
            <w:tcW w:w="1822" w:type="dxa"/>
          </w:tcPr>
          <w:p w14:paraId="2F9FB0F7" w14:textId="77777777" w:rsidR="00BF4821" w:rsidRDefault="00BF4821"/>
        </w:tc>
        <w:tc>
          <w:tcPr>
            <w:tcW w:w="1940" w:type="dxa"/>
          </w:tcPr>
          <w:p w14:paraId="1C54CE65" w14:textId="77777777" w:rsidR="00BF4821" w:rsidRDefault="00BF4821"/>
        </w:tc>
        <w:tc>
          <w:tcPr>
            <w:tcW w:w="1513" w:type="dxa"/>
          </w:tcPr>
          <w:p w14:paraId="7C7ECA49" w14:textId="77777777" w:rsidR="00BF4821" w:rsidRDefault="00BF4821"/>
        </w:tc>
        <w:tc>
          <w:tcPr>
            <w:tcW w:w="1536" w:type="dxa"/>
          </w:tcPr>
          <w:p w14:paraId="27234B4E" w14:textId="77777777" w:rsidR="00BF4821" w:rsidRDefault="00BF4821"/>
        </w:tc>
        <w:tc>
          <w:tcPr>
            <w:tcW w:w="1717" w:type="dxa"/>
          </w:tcPr>
          <w:p w14:paraId="100CC1AF" w14:textId="77777777" w:rsidR="00BF4821" w:rsidRDefault="00BF4821"/>
        </w:tc>
        <w:tc>
          <w:tcPr>
            <w:tcW w:w="1891" w:type="dxa"/>
          </w:tcPr>
          <w:p w14:paraId="546F21F3" w14:textId="77777777" w:rsidR="00BF4821" w:rsidRDefault="00BF4821"/>
        </w:tc>
      </w:tr>
      <w:tr w:rsidR="00C803DA" w14:paraId="32CE9CB7" w14:textId="77777777" w:rsidTr="009A31E0">
        <w:trPr>
          <w:trHeight w:val="286"/>
        </w:trPr>
        <w:tc>
          <w:tcPr>
            <w:tcW w:w="3859" w:type="dxa"/>
          </w:tcPr>
          <w:p w14:paraId="1C34E9E5" w14:textId="77777777" w:rsidR="00C803DA" w:rsidRDefault="009A31E0">
            <w:r>
              <w:t>What else?</w:t>
            </w:r>
          </w:p>
          <w:p w14:paraId="45DFFD34" w14:textId="6A09FCD2" w:rsidR="00FD699D" w:rsidRDefault="00FD699D"/>
        </w:tc>
        <w:tc>
          <w:tcPr>
            <w:tcW w:w="7149" w:type="dxa"/>
          </w:tcPr>
          <w:p w14:paraId="3D018689" w14:textId="77777777" w:rsidR="00C803DA" w:rsidRDefault="00C803DA"/>
        </w:tc>
        <w:tc>
          <w:tcPr>
            <w:tcW w:w="1251" w:type="dxa"/>
          </w:tcPr>
          <w:p w14:paraId="7E931D04" w14:textId="77777777" w:rsidR="00C803DA" w:rsidRDefault="00C803DA"/>
        </w:tc>
        <w:tc>
          <w:tcPr>
            <w:tcW w:w="1822" w:type="dxa"/>
          </w:tcPr>
          <w:p w14:paraId="6CCD2E31" w14:textId="77777777" w:rsidR="00C803DA" w:rsidRDefault="00C803DA"/>
        </w:tc>
        <w:tc>
          <w:tcPr>
            <w:tcW w:w="1940" w:type="dxa"/>
          </w:tcPr>
          <w:p w14:paraId="167204DD" w14:textId="77777777" w:rsidR="00C803DA" w:rsidRDefault="00C803DA"/>
        </w:tc>
        <w:tc>
          <w:tcPr>
            <w:tcW w:w="1513" w:type="dxa"/>
          </w:tcPr>
          <w:p w14:paraId="2F315DE4" w14:textId="77777777" w:rsidR="00C803DA" w:rsidRDefault="00C803DA"/>
        </w:tc>
        <w:tc>
          <w:tcPr>
            <w:tcW w:w="1536" w:type="dxa"/>
          </w:tcPr>
          <w:p w14:paraId="13EBB1DF" w14:textId="77777777" w:rsidR="00C803DA" w:rsidRDefault="00C803DA"/>
        </w:tc>
        <w:tc>
          <w:tcPr>
            <w:tcW w:w="1717" w:type="dxa"/>
          </w:tcPr>
          <w:p w14:paraId="54137AC6" w14:textId="77777777" w:rsidR="00C803DA" w:rsidRDefault="00C803DA"/>
        </w:tc>
        <w:tc>
          <w:tcPr>
            <w:tcW w:w="1891" w:type="dxa"/>
          </w:tcPr>
          <w:p w14:paraId="0A59D1B4" w14:textId="77777777" w:rsidR="00C803DA" w:rsidRDefault="00C803DA"/>
        </w:tc>
      </w:tr>
      <w:tr w:rsidR="00BF4821" w14:paraId="77439A07" w14:textId="77777777" w:rsidTr="009A31E0">
        <w:trPr>
          <w:trHeight w:val="286"/>
        </w:trPr>
        <w:tc>
          <w:tcPr>
            <w:tcW w:w="3859" w:type="dxa"/>
          </w:tcPr>
          <w:p w14:paraId="3B5EE668" w14:textId="77777777" w:rsidR="00BF4821" w:rsidRDefault="00BF4821"/>
        </w:tc>
        <w:tc>
          <w:tcPr>
            <w:tcW w:w="7149" w:type="dxa"/>
          </w:tcPr>
          <w:p w14:paraId="42B9FA06" w14:textId="77777777" w:rsidR="00BF4821" w:rsidRDefault="00BF4821"/>
        </w:tc>
        <w:tc>
          <w:tcPr>
            <w:tcW w:w="1251" w:type="dxa"/>
          </w:tcPr>
          <w:p w14:paraId="73B994A3" w14:textId="77777777" w:rsidR="00BF4821" w:rsidRDefault="00BF4821"/>
        </w:tc>
        <w:tc>
          <w:tcPr>
            <w:tcW w:w="1822" w:type="dxa"/>
          </w:tcPr>
          <w:p w14:paraId="318836F7" w14:textId="77777777" w:rsidR="00BF4821" w:rsidRDefault="00BF4821"/>
        </w:tc>
        <w:tc>
          <w:tcPr>
            <w:tcW w:w="1940" w:type="dxa"/>
          </w:tcPr>
          <w:p w14:paraId="51B15E0C" w14:textId="77777777" w:rsidR="00BF4821" w:rsidRDefault="00BF4821"/>
        </w:tc>
        <w:tc>
          <w:tcPr>
            <w:tcW w:w="1513" w:type="dxa"/>
          </w:tcPr>
          <w:p w14:paraId="1C71D4AB" w14:textId="77777777" w:rsidR="00BF4821" w:rsidRDefault="00BF4821"/>
        </w:tc>
        <w:tc>
          <w:tcPr>
            <w:tcW w:w="1536" w:type="dxa"/>
          </w:tcPr>
          <w:p w14:paraId="55F86396" w14:textId="77777777" w:rsidR="00BF4821" w:rsidRDefault="00BF4821"/>
        </w:tc>
        <w:tc>
          <w:tcPr>
            <w:tcW w:w="1717" w:type="dxa"/>
          </w:tcPr>
          <w:p w14:paraId="35114590" w14:textId="77777777" w:rsidR="00BF4821" w:rsidRDefault="00BF4821"/>
        </w:tc>
        <w:tc>
          <w:tcPr>
            <w:tcW w:w="1891" w:type="dxa"/>
          </w:tcPr>
          <w:p w14:paraId="72A67782" w14:textId="77777777" w:rsidR="00BF4821" w:rsidRDefault="00BF4821"/>
        </w:tc>
      </w:tr>
      <w:tr w:rsidR="00BF4821" w14:paraId="56601580" w14:textId="77777777" w:rsidTr="009A31E0">
        <w:trPr>
          <w:trHeight w:val="286"/>
        </w:trPr>
        <w:tc>
          <w:tcPr>
            <w:tcW w:w="3859" w:type="dxa"/>
          </w:tcPr>
          <w:p w14:paraId="7778FCA5" w14:textId="77777777" w:rsidR="00BF4821" w:rsidRDefault="00BF4821"/>
        </w:tc>
        <w:tc>
          <w:tcPr>
            <w:tcW w:w="7149" w:type="dxa"/>
          </w:tcPr>
          <w:p w14:paraId="77813AC0" w14:textId="77777777" w:rsidR="00BF4821" w:rsidRDefault="00BF4821"/>
        </w:tc>
        <w:tc>
          <w:tcPr>
            <w:tcW w:w="1251" w:type="dxa"/>
          </w:tcPr>
          <w:p w14:paraId="33B7DED9" w14:textId="77777777" w:rsidR="00BF4821" w:rsidRDefault="00BF4821"/>
        </w:tc>
        <w:tc>
          <w:tcPr>
            <w:tcW w:w="1822" w:type="dxa"/>
          </w:tcPr>
          <w:p w14:paraId="2FECF17E" w14:textId="77777777" w:rsidR="00BF4821" w:rsidRDefault="00BF4821"/>
        </w:tc>
        <w:tc>
          <w:tcPr>
            <w:tcW w:w="1940" w:type="dxa"/>
          </w:tcPr>
          <w:p w14:paraId="2FF92D44" w14:textId="77777777" w:rsidR="00BF4821" w:rsidRDefault="00BF4821"/>
        </w:tc>
        <w:tc>
          <w:tcPr>
            <w:tcW w:w="1513" w:type="dxa"/>
          </w:tcPr>
          <w:p w14:paraId="054A4FEA" w14:textId="77777777" w:rsidR="00BF4821" w:rsidRDefault="00BF4821"/>
        </w:tc>
        <w:tc>
          <w:tcPr>
            <w:tcW w:w="1536" w:type="dxa"/>
          </w:tcPr>
          <w:p w14:paraId="0EE87F0E" w14:textId="77777777" w:rsidR="00BF4821" w:rsidRDefault="00BF4821"/>
        </w:tc>
        <w:tc>
          <w:tcPr>
            <w:tcW w:w="1717" w:type="dxa"/>
          </w:tcPr>
          <w:p w14:paraId="085EF4A9" w14:textId="77777777" w:rsidR="00BF4821" w:rsidRDefault="00BF4821"/>
        </w:tc>
        <w:tc>
          <w:tcPr>
            <w:tcW w:w="1891" w:type="dxa"/>
          </w:tcPr>
          <w:p w14:paraId="3DDCB031" w14:textId="77777777" w:rsidR="00BF4821" w:rsidRDefault="00BF4821"/>
        </w:tc>
      </w:tr>
    </w:tbl>
    <w:p w14:paraId="3F25B733" w14:textId="77777777" w:rsidR="00AA68A7" w:rsidRDefault="00AA68A7"/>
    <w:p w14:paraId="2163EF5A" w14:textId="77777777" w:rsidR="00C803DA" w:rsidRDefault="00C803DA">
      <w:r>
        <w:t>Completed by: ____________________________________________ Signed:____________________________________</w:t>
      </w:r>
      <w:r>
        <w:tab/>
      </w:r>
      <w:r>
        <w:tab/>
        <w:t>Endorsed by: ___________________________________ Signed: __________________________________________</w:t>
      </w:r>
    </w:p>
    <w:tbl>
      <w:tblPr>
        <w:tblStyle w:val="TableGrid"/>
        <w:tblW w:w="0" w:type="auto"/>
        <w:tblLook w:val="04A0" w:firstRow="1" w:lastRow="0" w:firstColumn="1" w:lastColumn="0" w:noHBand="0" w:noVBand="1"/>
      </w:tblPr>
      <w:tblGrid>
        <w:gridCol w:w="1688"/>
        <w:gridCol w:w="4226"/>
        <w:gridCol w:w="2942"/>
        <w:gridCol w:w="4232"/>
      </w:tblGrid>
      <w:tr w:rsidR="00C803DA" w14:paraId="58F2EB21" w14:textId="77777777" w:rsidTr="00C803DA">
        <w:trPr>
          <w:trHeight w:val="323"/>
        </w:trPr>
        <w:tc>
          <w:tcPr>
            <w:tcW w:w="1688" w:type="dxa"/>
            <w:shd w:val="clear" w:color="auto" w:fill="0070C0"/>
          </w:tcPr>
          <w:p w14:paraId="11E207BF" w14:textId="77777777" w:rsidR="00C803DA" w:rsidRPr="00C803DA" w:rsidRDefault="00C803DA" w:rsidP="00C803DA">
            <w:pPr>
              <w:rPr>
                <w:b/>
                <w:color w:val="FFFFFF" w:themeColor="background1"/>
              </w:rPr>
            </w:pPr>
            <w:r w:rsidRPr="00C803DA">
              <w:rPr>
                <w:b/>
                <w:color w:val="FFFFFF" w:themeColor="background1"/>
              </w:rPr>
              <w:t>Amendments</w:t>
            </w:r>
          </w:p>
        </w:tc>
        <w:tc>
          <w:tcPr>
            <w:tcW w:w="4226" w:type="dxa"/>
          </w:tcPr>
          <w:p w14:paraId="274FD8C5" w14:textId="77777777" w:rsidR="00C803DA" w:rsidRDefault="00C803DA" w:rsidP="00C803DA">
            <w:r>
              <w:t xml:space="preserve">Date:                          Initials:   </w:t>
            </w:r>
          </w:p>
        </w:tc>
        <w:tc>
          <w:tcPr>
            <w:tcW w:w="2942" w:type="dxa"/>
            <w:shd w:val="clear" w:color="auto" w:fill="0070C0"/>
          </w:tcPr>
          <w:p w14:paraId="3D3BC1C0" w14:textId="77777777" w:rsidR="00C803DA" w:rsidRPr="00C803DA" w:rsidRDefault="00C803DA" w:rsidP="00C803DA">
            <w:pPr>
              <w:rPr>
                <w:b/>
                <w:color w:val="FFFFFF" w:themeColor="background1"/>
              </w:rPr>
            </w:pPr>
            <w:r w:rsidRPr="00C803DA">
              <w:rPr>
                <w:b/>
                <w:color w:val="FFFFFF" w:themeColor="background1"/>
              </w:rPr>
              <w:t>1</w:t>
            </w:r>
            <w:r w:rsidRPr="00C803DA">
              <w:rPr>
                <w:b/>
                <w:color w:val="FFFFFF" w:themeColor="background1"/>
                <w:vertAlign w:val="superscript"/>
              </w:rPr>
              <w:t>st</w:t>
            </w:r>
            <w:r w:rsidRPr="00C803DA">
              <w:rPr>
                <w:b/>
                <w:color w:val="FFFFFF" w:themeColor="background1"/>
              </w:rPr>
              <w:t xml:space="preserve"> Quarter Review</w:t>
            </w:r>
          </w:p>
        </w:tc>
        <w:tc>
          <w:tcPr>
            <w:tcW w:w="4232" w:type="dxa"/>
          </w:tcPr>
          <w:p w14:paraId="3884C7D4" w14:textId="77777777" w:rsidR="00C803DA" w:rsidRDefault="00C803DA" w:rsidP="00C803DA">
            <w:r>
              <w:t xml:space="preserve">Date:                          Initials:   </w:t>
            </w:r>
          </w:p>
        </w:tc>
      </w:tr>
      <w:tr w:rsidR="00C803DA" w14:paraId="532C8DF1" w14:textId="77777777" w:rsidTr="00C803DA">
        <w:trPr>
          <w:trHeight w:val="323"/>
        </w:trPr>
        <w:tc>
          <w:tcPr>
            <w:tcW w:w="1688" w:type="dxa"/>
          </w:tcPr>
          <w:p w14:paraId="7A332607" w14:textId="77777777" w:rsidR="00C803DA" w:rsidRDefault="00C803DA" w:rsidP="00C803DA"/>
        </w:tc>
        <w:tc>
          <w:tcPr>
            <w:tcW w:w="4226" w:type="dxa"/>
          </w:tcPr>
          <w:p w14:paraId="1746E0F8" w14:textId="77777777" w:rsidR="00C803DA" w:rsidRDefault="00C803DA" w:rsidP="00C803DA">
            <w:r>
              <w:t xml:space="preserve">Date:                          Initials:   </w:t>
            </w:r>
          </w:p>
        </w:tc>
        <w:tc>
          <w:tcPr>
            <w:tcW w:w="2942" w:type="dxa"/>
            <w:shd w:val="clear" w:color="auto" w:fill="0070C0"/>
          </w:tcPr>
          <w:p w14:paraId="1531387A" w14:textId="77777777" w:rsidR="00C803DA" w:rsidRPr="00C803DA" w:rsidRDefault="00C803DA" w:rsidP="00C803DA">
            <w:pPr>
              <w:rPr>
                <w:b/>
                <w:color w:val="FFFFFF" w:themeColor="background1"/>
              </w:rPr>
            </w:pPr>
            <w:r w:rsidRPr="00C803DA">
              <w:rPr>
                <w:b/>
                <w:color w:val="FFFFFF" w:themeColor="background1"/>
              </w:rPr>
              <w:t>2</w:t>
            </w:r>
            <w:r w:rsidRPr="00C803DA">
              <w:rPr>
                <w:b/>
                <w:color w:val="FFFFFF" w:themeColor="background1"/>
                <w:vertAlign w:val="superscript"/>
              </w:rPr>
              <w:t>nd</w:t>
            </w:r>
            <w:r w:rsidRPr="00C803DA">
              <w:rPr>
                <w:b/>
                <w:color w:val="FFFFFF" w:themeColor="background1"/>
              </w:rPr>
              <w:t xml:space="preserve"> Quarter Review</w:t>
            </w:r>
          </w:p>
        </w:tc>
        <w:tc>
          <w:tcPr>
            <w:tcW w:w="4232" w:type="dxa"/>
          </w:tcPr>
          <w:p w14:paraId="1C506482" w14:textId="77777777" w:rsidR="00C803DA" w:rsidRDefault="00C803DA" w:rsidP="00C803DA">
            <w:r>
              <w:t xml:space="preserve">Date:                          Initials:   </w:t>
            </w:r>
          </w:p>
        </w:tc>
      </w:tr>
      <w:tr w:rsidR="00C803DA" w14:paraId="7216C380" w14:textId="77777777" w:rsidTr="00C803DA">
        <w:trPr>
          <w:trHeight w:val="323"/>
        </w:trPr>
        <w:tc>
          <w:tcPr>
            <w:tcW w:w="1688" w:type="dxa"/>
          </w:tcPr>
          <w:p w14:paraId="6F4E31A9" w14:textId="77777777" w:rsidR="00C803DA" w:rsidRDefault="00C803DA" w:rsidP="00C803DA"/>
        </w:tc>
        <w:tc>
          <w:tcPr>
            <w:tcW w:w="4226" w:type="dxa"/>
          </w:tcPr>
          <w:p w14:paraId="25D41BCE" w14:textId="77777777" w:rsidR="00C803DA" w:rsidRDefault="00C803DA" w:rsidP="00C803DA">
            <w:r>
              <w:t xml:space="preserve">Date:                          Initials:   </w:t>
            </w:r>
          </w:p>
        </w:tc>
        <w:tc>
          <w:tcPr>
            <w:tcW w:w="2942" w:type="dxa"/>
            <w:shd w:val="clear" w:color="auto" w:fill="0070C0"/>
          </w:tcPr>
          <w:p w14:paraId="553B679B" w14:textId="77777777" w:rsidR="00C803DA" w:rsidRPr="00C803DA" w:rsidRDefault="00C803DA" w:rsidP="00C803DA">
            <w:pPr>
              <w:rPr>
                <w:b/>
                <w:color w:val="FFFFFF" w:themeColor="background1"/>
              </w:rPr>
            </w:pPr>
            <w:r w:rsidRPr="00C803DA">
              <w:rPr>
                <w:b/>
                <w:color w:val="FFFFFF" w:themeColor="background1"/>
              </w:rPr>
              <w:t>3</w:t>
            </w:r>
            <w:r w:rsidRPr="00C803DA">
              <w:rPr>
                <w:b/>
                <w:color w:val="FFFFFF" w:themeColor="background1"/>
                <w:vertAlign w:val="superscript"/>
              </w:rPr>
              <w:t>rd</w:t>
            </w:r>
            <w:r w:rsidRPr="00C803DA">
              <w:rPr>
                <w:b/>
                <w:color w:val="FFFFFF" w:themeColor="background1"/>
              </w:rPr>
              <w:t xml:space="preserve"> Quarter Review</w:t>
            </w:r>
          </w:p>
        </w:tc>
        <w:tc>
          <w:tcPr>
            <w:tcW w:w="4232" w:type="dxa"/>
          </w:tcPr>
          <w:p w14:paraId="630280DF" w14:textId="77777777" w:rsidR="00C803DA" w:rsidRDefault="00C803DA" w:rsidP="00C803DA">
            <w:r>
              <w:t xml:space="preserve">Date:                          Initials:   </w:t>
            </w:r>
          </w:p>
        </w:tc>
      </w:tr>
      <w:tr w:rsidR="00C803DA" w14:paraId="32420067" w14:textId="77777777" w:rsidTr="00C803DA">
        <w:trPr>
          <w:trHeight w:val="311"/>
        </w:trPr>
        <w:tc>
          <w:tcPr>
            <w:tcW w:w="1688" w:type="dxa"/>
          </w:tcPr>
          <w:p w14:paraId="6E56F331" w14:textId="77777777" w:rsidR="00C803DA" w:rsidRDefault="00C803DA" w:rsidP="00C803DA"/>
        </w:tc>
        <w:tc>
          <w:tcPr>
            <w:tcW w:w="4226" w:type="dxa"/>
          </w:tcPr>
          <w:p w14:paraId="18BC9C02" w14:textId="77777777" w:rsidR="00C803DA" w:rsidRDefault="00C803DA" w:rsidP="00C803DA">
            <w:r>
              <w:t xml:space="preserve">Date:                          Initials:   </w:t>
            </w:r>
          </w:p>
        </w:tc>
        <w:tc>
          <w:tcPr>
            <w:tcW w:w="2942" w:type="dxa"/>
            <w:shd w:val="clear" w:color="auto" w:fill="0070C0"/>
          </w:tcPr>
          <w:p w14:paraId="16B9C049" w14:textId="77777777" w:rsidR="00C803DA" w:rsidRPr="00C803DA" w:rsidRDefault="00C803DA" w:rsidP="00C803DA">
            <w:pPr>
              <w:rPr>
                <w:b/>
                <w:color w:val="FFFFFF" w:themeColor="background1"/>
              </w:rPr>
            </w:pPr>
            <w:r w:rsidRPr="00C803DA">
              <w:rPr>
                <w:b/>
                <w:color w:val="FFFFFF" w:themeColor="background1"/>
              </w:rPr>
              <w:t xml:space="preserve">Annual Review </w:t>
            </w:r>
          </w:p>
        </w:tc>
        <w:tc>
          <w:tcPr>
            <w:tcW w:w="4232" w:type="dxa"/>
          </w:tcPr>
          <w:p w14:paraId="6F1275E7" w14:textId="77777777" w:rsidR="00C803DA" w:rsidRDefault="00C803DA" w:rsidP="00C803DA">
            <w:r>
              <w:t xml:space="preserve">Date:                          Initials:   </w:t>
            </w:r>
          </w:p>
        </w:tc>
      </w:tr>
    </w:tbl>
    <w:p w14:paraId="29162F09" w14:textId="77777777" w:rsidR="00C803DA" w:rsidRDefault="00C803DA"/>
    <w:sectPr w:rsidR="00C803DA" w:rsidSect="00AA68A7">
      <w:headerReference w:type="even" r:id="rId7"/>
      <w:headerReference w:type="default" r:id="rId8"/>
      <w:footerReference w:type="even" r:id="rId9"/>
      <w:footerReference w:type="default" r:id="rId10"/>
      <w:headerReference w:type="first" r:id="rId11"/>
      <w:footerReference w:type="first" r:id="rId12"/>
      <w:pgSz w:w="23811" w:h="16838" w:orient="landscape" w:code="8"/>
      <w:pgMar w:top="1440" w:right="53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961A0" w14:textId="77777777" w:rsidR="00646AF5" w:rsidRDefault="00646AF5" w:rsidP="00FD699D">
      <w:pPr>
        <w:spacing w:after="0" w:line="240" w:lineRule="auto"/>
      </w:pPr>
      <w:r>
        <w:separator/>
      </w:r>
    </w:p>
  </w:endnote>
  <w:endnote w:type="continuationSeparator" w:id="0">
    <w:p w14:paraId="0C1C8E88" w14:textId="77777777" w:rsidR="00646AF5" w:rsidRDefault="00646AF5" w:rsidP="00FD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5C98" w14:textId="77777777" w:rsidR="00FD699D" w:rsidRDefault="00FD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DAAC" w14:textId="77777777" w:rsidR="00FD699D" w:rsidRDefault="00FD6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05C3" w14:textId="77777777" w:rsidR="00FD699D" w:rsidRDefault="00FD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93FC6" w14:textId="77777777" w:rsidR="00646AF5" w:rsidRDefault="00646AF5" w:rsidP="00FD699D">
      <w:pPr>
        <w:spacing w:after="0" w:line="240" w:lineRule="auto"/>
      </w:pPr>
      <w:r>
        <w:separator/>
      </w:r>
    </w:p>
  </w:footnote>
  <w:footnote w:type="continuationSeparator" w:id="0">
    <w:p w14:paraId="30067C78" w14:textId="77777777" w:rsidR="00646AF5" w:rsidRDefault="00646AF5" w:rsidP="00FD6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5713" w14:textId="77777777" w:rsidR="00FD699D" w:rsidRDefault="00FD6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099692"/>
      <w:docPartObj>
        <w:docPartGallery w:val="Watermarks"/>
        <w:docPartUnique/>
      </w:docPartObj>
    </w:sdtPr>
    <w:sdtEndPr/>
    <w:sdtContent>
      <w:p w14:paraId="7C554A1B" w14:textId="0CBC204E" w:rsidR="00FD699D" w:rsidRDefault="00646AF5">
        <w:pPr>
          <w:pStyle w:val="Header"/>
        </w:pPr>
        <w:r>
          <w:rPr>
            <w:noProof/>
          </w:rPr>
          <w:pict w14:anchorId="3F4EB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362955" o:spid="_x0000_s2049" type="#_x0000_t136" style="position:absolute;margin-left:0;margin-top:0;width:715.6pt;height:268.3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1B04" w14:textId="77777777" w:rsidR="00FD699D" w:rsidRDefault="00FD6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E"/>
    <w:rsid w:val="002B396E"/>
    <w:rsid w:val="002E12C5"/>
    <w:rsid w:val="003663E4"/>
    <w:rsid w:val="0049715A"/>
    <w:rsid w:val="00570645"/>
    <w:rsid w:val="00576FAA"/>
    <w:rsid w:val="00646AF5"/>
    <w:rsid w:val="00761F99"/>
    <w:rsid w:val="007A68D2"/>
    <w:rsid w:val="007C5433"/>
    <w:rsid w:val="0088589D"/>
    <w:rsid w:val="008B3F93"/>
    <w:rsid w:val="009A31E0"/>
    <w:rsid w:val="009B1D2A"/>
    <w:rsid w:val="00A14026"/>
    <w:rsid w:val="00A76FBE"/>
    <w:rsid w:val="00A90D5F"/>
    <w:rsid w:val="00AA68A7"/>
    <w:rsid w:val="00BF4821"/>
    <w:rsid w:val="00C803DA"/>
    <w:rsid w:val="00DB3FC5"/>
    <w:rsid w:val="00DD08A4"/>
    <w:rsid w:val="00E9649A"/>
    <w:rsid w:val="00FD6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53BB82"/>
  <w15:chartTrackingRefBased/>
  <w15:docId w15:val="{0B1DB97E-BE3C-44EB-A8C7-8579489B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715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FD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99D"/>
  </w:style>
  <w:style w:type="paragraph" w:styleId="Footer">
    <w:name w:val="footer"/>
    <w:basedOn w:val="Normal"/>
    <w:link w:val="FooterChar"/>
    <w:uiPriority w:val="99"/>
    <w:unhideWhenUsed/>
    <w:rsid w:val="00FD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Dellamarta</dc:creator>
  <cp:keywords/>
  <dc:description/>
  <cp:lastModifiedBy>Christine Brooks</cp:lastModifiedBy>
  <cp:revision>8</cp:revision>
  <cp:lastPrinted>2020-01-23T00:28:00Z</cp:lastPrinted>
  <dcterms:created xsi:type="dcterms:W3CDTF">2020-01-23T00:20:00Z</dcterms:created>
  <dcterms:modified xsi:type="dcterms:W3CDTF">2020-08-14T00:48:00Z</dcterms:modified>
</cp:coreProperties>
</file>